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9"/>
        <w:ind w:left="-142"/>
        <w:jc w:val="both"/>
        <w:rPr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  <w:shd w:fill="E7E6E6" w:val="clear"/>
        </w:rPr>
        <w:t xml:space="preserve">WYMAGANIA EDUKACYJNE Z BIOLOGII </w:t>
      </w:r>
      <w:r>
        <w:rPr>
          <w:rFonts w:eastAsia="Times New Roman" w:ascii="Times New Roman" w:hAnsi="Times New Roman"/>
          <w:sz w:val="16"/>
          <w:szCs w:val="16"/>
        </w:rPr>
        <w:t xml:space="preserve">dla </w:t>
      </w:r>
      <w:r>
        <w:rPr>
          <w:rFonts w:eastAsia="Times New Roman" w:ascii="Times New Roman" w:hAnsi="Times New Roman"/>
          <w:b/>
          <w:sz w:val="16"/>
          <w:szCs w:val="16"/>
        </w:rPr>
        <w:t xml:space="preserve">technikum klasa 3 </w:t>
      </w:r>
      <w:r>
        <w:rPr>
          <w:rFonts w:eastAsia="Times New Roman" w:ascii="Times New Roman" w:hAnsi="Times New Roman"/>
          <w:sz w:val="16"/>
          <w:szCs w:val="16"/>
        </w:rPr>
        <w:t xml:space="preserve">        </w:t>
      </w:r>
      <w:r>
        <w:rPr>
          <w:rFonts w:eastAsia="Times New Roman" w:ascii="Times New Roman" w:hAnsi="Times New Roman"/>
          <w:sz w:val="16"/>
          <w:szCs w:val="16"/>
          <w:shd w:fill="E7E6E6" w:val="clear"/>
        </w:rPr>
        <w:t xml:space="preserve">– zakres podstawowy </w:t>
      </w:r>
    </w:p>
    <w:p>
      <w:pPr>
        <w:pStyle w:val="Normal"/>
        <w:spacing w:lineRule="auto" w:line="249"/>
        <w:ind w:left="-142"/>
        <w:rPr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 xml:space="preserve">Przygotowane na podstawie treści zawartych w podstawie programowej (załącznik nr 1 do rozporządzenia, Dz.U. z 2018 r., poz. 467), programie nauczania. </w:t>
      </w:r>
    </w:p>
    <w:p>
      <w:pPr>
        <w:pStyle w:val="Normal"/>
        <w:spacing w:lineRule="auto" w:line="249"/>
        <w:ind w:left="-142"/>
        <w:jc w:val="center"/>
        <w:rPr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>„</w:t>
      </w:r>
      <w:r>
        <w:rPr>
          <w:rFonts w:eastAsia="Times New Roman" w:ascii="Times New Roman" w:hAnsi="Times New Roman"/>
          <w:i/>
          <w:sz w:val="16"/>
          <w:szCs w:val="16"/>
        </w:rPr>
        <w:t xml:space="preserve">Biologia na czasie”cz. 2 - </w:t>
      </w:r>
      <w:r>
        <w:rPr>
          <w:rFonts w:eastAsia="Times New Roman" w:ascii="Times New Roman" w:hAnsi="Times New Roman"/>
          <w:sz w:val="16"/>
          <w:szCs w:val="16"/>
        </w:rPr>
        <w:t xml:space="preserve">zakres podstawowy, </w:t>
        <w:br/>
      </w:r>
      <w:r>
        <w:rPr>
          <w:rFonts w:eastAsia="Times New Roman" w:ascii="Times New Roman" w:hAnsi="Times New Roman"/>
          <w:sz w:val="16"/>
          <w:szCs w:val="16"/>
          <w:u w:val="single"/>
        </w:rPr>
        <w:t>wydawnictwo Nowa Era</w:t>
      </w:r>
    </w:p>
    <w:p>
      <w:pPr>
        <w:pStyle w:val="Standard"/>
        <w:rPr>
          <w:sz w:val="16"/>
          <w:szCs w:val="16"/>
        </w:rPr>
      </w:pPr>
      <w:r>
        <w:rPr>
          <w:b/>
          <w:bCs/>
          <w:sz w:val="16"/>
          <w:szCs w:val="16"/>
          <w:lang w:eastAsia="pl-PL"/>
        </w:rPr>
        <w:t>Poziomy oczekiwanych osiągnięć ucznia</w:t>
      </w:r>
    </w:p>
    <w:tbl>
      <w:tblPr>
        <w:tblW w:w="1442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69"/>
        <w:gridCol w:w="7655"/>
      </w:tblGrid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>Wymagania podstawowe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>Wymagania ponadpodstawowe</w:t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>konieczne (na stopień dopuszczający)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>rozszerzające (na stopień dobry)</w:t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pl-PL"/>
              </w:rPr>
              <w:t>podstawowe (na stopień dostateczny)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val="pl-PL" w:eastAsia="pl-PL"/>
              </w:rPr>
              <w:t>dopełniające (na stopień bardzo dobry)</w:t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pl-PL"/>
              </w:rPr>
              <w:t>- najważniejsze w uczeniu się biologii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pl-PL"/>
              </w:rPr>
              <w:t>-  złożone i mniej przystępne niż zaliczone do wymagań podstawowych</w:t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pl-PL"/>
              </w:rPr>
              <w:t>- łatwe  do przyswojenia dla ucznia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pl-PL"/>
              </w:rPr>
              <w:t>- wymagające korzystania z różnych źródeł informacji</w:t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pl-PL"/>
              </w:rPr>
              <w:t>- często powtarzające się w procesie nauczania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pl-PL"/>
              </w:rPr>
              <w:t>- umożliwiające rozwiązywanie problemów</w:t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pl-PL"/>
              </w:rPr>
              <w:t>- określone programem nauczania na poziomie  nieprzekraczającym wymagań zawartych w podstawie programowej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pl-PL"/>
              </w:rPr>
              <w:t>- pośrednio użyteczne w życiu pozaszkolnym</w:t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pl-PL"/>
              </w:rPr>
              <w:t>- użyteczne w życiu codziennym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pl-PL"/>
              </w:rPr>
              <w:t>- pozwalające łączyć wiedzę z różnych przedmiotów i dziedzin</w:t>
            </w:r>
          </w:p>
        </w:tc>
      </w:tr>
    </w:tbl>
    <w:p>
      <w:pPr>
        <w:pStyle w:val="Standard"/>
        <w:spacing w:lineRule="auto" w:line="276"/>
        <w:rPr>
          <w:sz w:val="16"/>
          <w:szCs w:val="16"/>
        </w:rPr>
      </w:pPr>
      <w:r>
        <w:rPr>
          <w:rFonts w:cs="Times New Roman"/>
          <w:b/>
          <w:bCs/>
          <w:sz w:val="16"/>
          <w:szCs w:val="16"/>
          <w:lang w:val="pl-PL" w:eastAsia="pl-PL"/>
        </w:rPr>
        <w:t>Stopnie szkolne:</w:t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rFonts w:cs="Times New Roman"/>
          <w:b/>
          <w:bCs/>
          <w:i/>
          <w:iCs/>
          <w:sz w:val="16"/>
          <w:szCs w:val="16"/>
          <w:lang w:val="pl-PL" w:eastAsia="pl-PL"/>
        </w:rPr>
        <w:t>Ocena  dopuszczający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rFonts w:cs="Times New Roman"/>
          <w:sz w:val="16"/>
          <w:szCs w:val="16"/>
          <w:lang w:val="pl-PL" w:eastAsia="pl-PL"/>
        </w:rPr>
        <w:t>Stopień dopuszczający można wystawić uczniowi, który przyswoił treści konieczne. Taki uczeń z pomocą nauczyciela jest w stanie nadrobić braki w podstawowych umiejętnościach.</w:t>
      </w:r>
    </w:p>
    <w:p>
      <w:pPr>
        <w:pStyle w:val="Standard"/>
        <w:spacing w:lineRule="auto" w:line="276"/>
        <w:rPr>
          <w:rFonts w:cs="Times New Roman"/>
          <w:sz w:val="16"/>
          <w:szCs w:val="16"/>
          <w:lang w:val="pl-PL" w:eastAsia="pl-PL"/>
        </w:rPr>
      </w:pPr>
      <w:r>
        <w:rPr>
          <w:rFonts w:cs="Times New Roman"/>
          <w:sz w:val="16"/>
          <w:szCs w:val="16"/>
          <w:lang w:val="pl-PL" w:eastAsia="pl-PL"/>
        </w:rPr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rFonts w:cs="Times New Roman"/>
          <w:b/>
          <w:bCs/>
          <w:i/>
          <w:iCs/>
          <w:sz w:val="16"/>
          <w:szCs w:val="16"/>
          <w:lang w:val="pl-PL" w:eastAsia="pl-PL"/>
        </w:rPr>
        <w:t>Ocena  dostateczny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rFonts w:cs="Times New Roman"/>
          <w:sz w:val="16"/>
          <w:szCs w:val="16"/>
          <w:lang w:val="pl-PL" w:eastAsia="pl-PL"/>
        </w:rPr>
        <w:t>Stopień dostateczny może otrzymać uczeń, który opanował wiadomości podstawowe i z niewielką pomocą nauczyciela potrafi rozwiązać podstawowe problemy. Analizuje również proste zależności, a także próbuje porównywać, wnioskować i zajmować określone stanowisko.</w:t>
      </w:r>
    </w:p>
    <w:p>
      <w:pPr>
        <w:pStyle w:val="Standard"/>
        <w:spacing w:lineRule="auto" w:line="276"/>
        <w:rPr>
          <w:rFonts w:cs="Times New Roman"/>
          <w:sz w:val="16"/>
          <w:szCs w:val="16"/>
          <w:lang w:val="pl-PL" w:eastAsia="pl-PL"/>
        </w:rPr>
      </w:pPr>
      <w:r>
        <w:rPr>
          <w:rFonts w:cs="Times New Roman"/>
          <w:sz w:val="16"/>
          <w:szCs w:val="16"/>
          <w:lang w:val="pl-PL" w:eastAsia="pl-PL"/>
        </w:rPr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rFonts w:cs="Times New Roman"/>
          <w:b/>
          <w:bCs/>
          <w:i/>
          <w:iCs/>
          <w:sz w:val="16"/>
          <w:szCs w:val="16"/>
          <w:lang w:val="pl-PL" w:eastAsia="pl-PL"/>
        </w:rPr>
        <w:t>Ocena  dobry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rFonts w:cs="Times New Roman"/>
          <w:sz w:val="16"/>
          <w:szCs w:val="16"/>
          <w:lang w:val="pl-PL" w:eastAsia="pl-PL"/>
        </w:rPr>
        <w:t>Stopień dobry można wystawić uczniowi, który przyswoił treści rozszerzające, właściwie stosuje terminologię przedmiotową, a także wiadomości w sytuacjach typowych wg wzorów znanych z lekcji i podręcznika, rozwiązuje typowe problemy z wykorzystaniem poznanych metod, samodzielnie pracuje z podręcznikiem i materiałem źródłowym oraz aktywnie uczestniczy w zajęciach.</w:t>
      </w:r>
    </w:p>
    <w:p>
      <w:pPr>
        <w:pStyle w:val="Standard"/>
        <w:spacing w:lineRule="auto" w:line="276"/>
        <w:rPr>
          <w:rFonts w:cs="Times New Roman"/>
          <w:sz w:val="16"/>
          <w:szCs w:val="16"/>
          <w:lang w:val="pl-PL" w:eastAsia="pl-PL"/>
        </w:rPr>
      </w:pPr>
      <w:r>
        <w:rPr>
          <w:rFonts w:cs="Times New Roman"/>
          <w:sz w:val="16"/>
          <w:szCs w:val="16"/>
          <w:lang w:val="pl-PL" w:eastAsia="pl-PL"/>
        </w:rPr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rFonts w:cs="Times New Roman"/>
          <w:b/>
          <w:bCs/>
          <w:i/>
          <w:iCs/>
          <w:sz w:val="16"/>
          <w:szCs w:val="16"/>
          <w:lang w:val="pl-PL" w:eastAsia="pl-PL"/>
        </w:rPr>
        <w:t>Ocena  bardzo dobry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rFonts w:cs="Times New Roman"/>
          <w:sz w:val="16"/>
          <w:szCs w:val="16"/>
          <w:lang w:val="pl-PL" w:eastAsia="pl-PL"/>
        </w:rPr>
        <w:t>Stopień bardzo dobry może otrzymać uczeń, który opanował treści dopełniające. Potrafi on samodzielnie interpretować zjawiska oraz bronić swych poglądów.</w:t>
      </w:r>
    </w:p>
    <w:p>
      <w:pPr>
        <w:pStyle w:val="Standard"/>
        <w:spacing w:lineRule="auto" w:line="276"/>
        <w:rPr>
          <w:rFonts w:cs="Times New Roman"/>
          <w:sz w:val="16"/>
          <w:szCs w:val="16"/>
          <w:lang w:val="pl-PL" w:eastAsia="pl-PL"/>
        </w:rPr>
      </w:pPr>
      <w:r>
        <w:rPr>
          <w:rFonts w:cs="Times New Roman"/>
          <w:sz w:val="16"/>
          <w:szCs w:val="16"/>
          <w:lang w:val="pl-PL" w:eastAsia="pl-PL"/>
        </w:rPr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rFonts w:cs="Times New Roman"/>
          <w:b/>
          <w:bCs/>
          <w:i/>
          <w:iCs/>
          <w:sz w:val="16"/>
          <w:szCs w:val="16"/>
          <w:lang w:val="pl-PL" w:eastAsia="pl-PL"/>
        </w:rPr>
        <w:t>Ocena  celujący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rFonts w:cs="Times New Roman"/>
          <w:sz w:val="16"/>
          <w:szCs w:val="16"/>
          <w:lang w:val="pl-PL" w:eastAsia="pl-PL"/>
        </w:rPr>
        <w:t xml:space="preserve">Stopień celujący może otrzymać uczeń, który opanował treści wykraczające poza informacje zawarte w podręczniku. Potrafi on selekcjonować </w:t>
        <w:br/>
        <w:t>i hierarchizować wiadomości, z powodzeniem bierze udział w konkursach i olimpiadach przedmiotowych, a także pod okiem nauczyciela prowadzi własne prace  badawcze (przygotuje projekt o tematyce uzgodnionej wcześniej z nauczycielem).</w:t>
      </w:r>
    </w:p>
    <w:p>
      <w:pPr>
        <w:pStyle w:val="Standard"/>
        <w:shd w:val="clear" w:color="auto" w:fill="E7E6E6"/>
        <w:spacing w:lineRule="auto" w:line="276"/>
        <w:rPr>
          <w:sz w:val="16"/>
          <w:szCs w:val="16"/>
        </w:rPr>
      </w:pPr>
      <w:r>
        <w:rPr>
          <w:rFonts w:cs="Times New Roman"/>
          <w:b/>
          <w:sz w:val="16"/>
          <w:szCs w:val="16"/>
          <w:lang w:val="pl-PL" w:eastAsia="pl-PL"/>
        </w:rPr>
        <w:t>Wymagania edukacyjne zawierają szczegółowy wykaz wiadomości i umiejętności, które uczeń powinien opanować po omówieniu poszczególnych lekcji z podręcznika „</w:t>
      </w:r>
      <w:r>
        <w:rPr>
          <w:rFonts w:cs="Times New Roman"/>
          <w:b/>
          <w:i/>
          <w:iCs/>
          <w:sz w:val="16"/>
          <w:szCs w:val="16"/>
          <w:lang w:val="pl-PL" w:eastAsia="pl-PL"/>
        </w:rPr>
        <w:t>Biologia na czasie” – zakres podstawowy - cz. 2</w:t>
      </w:r>
      <w:r>
        <w:rPr>
          <w:rFonts w:cs="Times New Roman"/>
          <w:b/>
          <w:sz w:val="16"/>
          <w:szCs w:val="16"/>
          <w:lang w:val="pl-PL" w:eastAsia="pl-PL"/>
        </w:rPr>
        <w:t>. Klasa 3 technikum</w:t>
      </w:r>
    </w:p>
    <w:p>
      <w:pPr>
        <w:pStyle w:val="Standard"/>
        <w:tabs>
          <w:tab w:val="clear" w:pos="708"/>
          <w:tab w:val="left" w:pos="5340" w:leader="none"/>
        </w:tabs>
        <w:spacing w:lineRule="auto" w:line="276"/>
        <w:rPr>
          <w:sz w:val="16"/>
          <w:szCs w:val="16"/>
        </w:rPr>
      </w:pPr>
      <w:r>
        <w:rPr>
          <w:rFonts w:cs="Times New Roman"/>
          <w:b/>
          <w:bCs/>
          <w:sz w:val="16"/>
          <w:szCs w:val="16"/>
          <w:lang w:val="pl-PL"/>
        </w:rPr>
        <w:tab/>
      </w:r>
    </w:p>
    <w:tbl>
      <w:tblPr>
        <w:tblW w:w="1561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43"/>
        <w:gridCol w:w="84"/>
        <w:gridCol w:w="2642"/>
        <w:gridCol w:w="250"/>
        <w:gridCol w:w="2475"/>
        <w:gridCol w:w="290"/>
        <w:gridCol w:w="2436"/>
        <w:gridCol w:w="517"/>
        <w:gridCol w:w="2034"/>
        <w:gridCol w:w="670"/>
        <w:gridCol w:w="1472"/>
      </w:tblGrid>
      <w:tr>
        <w:trPr>
          <w:trHeight w:val="365" w:hRule="atLeast"/>
        </w:trPr>
        <w:tc>
          <w:tcPr>
            <w:tcW w:w="28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cs="Times New Roman"/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val="pl-PL" w:eastAsia="en-US"/>
              </w:rPr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Temat lekcji</w:t>
            </w:r>
          </w:p>
        </w:tc>
        <w:tc>
          <w:tcPr>
            <w:tcW w:w="2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Poziom wymagań</w:t>
            </w:r>
          </w:p>
        </w:tc>
        <w:tc>
          <w:tcPr>
            <w:tcW w:w="2765" w:type="dxa"/>
            <w:gridSpan w:val="2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953" w:type="dxa"/>
            <w:gridSpan w:val="2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704" w:type="dxa"/>
            <w:gridSpan w:val="2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147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15" w:hRule="atLeast"/>
        </w:trPr>
        <w:tc>
          <w:tcPr>
            <w:tcW w:w="282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ocena dopuszczająca</w:t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  <w:t>[1]</w:t>
            </w:r>
          </w:p>
        </w:tc>
        <w:tc>
          <w:tcPr>
            <w:tcW w:w="2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ocena dostateczna</w:t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  <w:t>[1+2]</w:t>
            </w:r>
          </w:p>
        </w:tc>
        <w:tc>
          <w:tcPr>
            <w:tcW w:w="2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ocena dobra</w:t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  <w:t>[1+2+3]</w:t>
            </w:r>
          </w:p>
        </w:tc>
        <w:tc>
          <w:tcPr>
            <w:tcW w:w="2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US"/>
              </w:rPr>
              <w:t>ocena bardzo dobra</w:t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  <w:t>[1+2+3+4]</w:t>
            </w:r>
          </w:p>
        </w:tc>
        <w:tc>
          <w:tcPr>
            <w:tcW w:w="147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7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rFonts w:cs="Times New Roman"/>
                <w:b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</w:r>
          </w:p>
        </w:tc>
        <w:tc>
          <w:tcPr>
            <w:tcW w:w="2765" w:type="dxa"/>
            <w:gridSpan w:val="2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cs="Times New Roman"/>
                <w:b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</w:r>
          </w:p>
        </w:tc>
        <w:tc>
          <w:tcPr>
            <w:tcW w:w="2953" w:type="dxa"/>
            <w:gridSpan w:val="2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cs="Times New Roman"/>
                <w:b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</w:r>
          </w:p>
        </w:tc>
        <w:tc>
          <w:tcPr>
            <w:tcW w:w="2704" w:type="dxa"/>
            <w:gridSpan w:val="2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rFonts w:cs="Times New Roman"/>
                <w:b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</w:r>
          </w:p>
        </w:tc>
        <w:tc>
          <w:tcPr>
            <w:tcW w:w="147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Rozdział 7. Odporność organizmu</w:t>
            </w:r>
          </w:p>
        </w:tc>
      </w:tr>
      <w:tr>
        <w:trPr>
          <w:trHeight w:val="1134" w:hRule="atLeast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1-2. Budowa układu odpornościowego. Rodzaje odporności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antygen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przeciwciało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infekcja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patogen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układu odpornościowego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elementów układu odpornościowego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infekcja wirusowa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określa znaczenie przeciwciał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główne rodzaje odporności 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trzy linie obrony organizmu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mechanizmy odporności humoralnej </w:t>
              <w:br/>
              <w:t>i komórkowej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pamięć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immunologiczna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znaczenie szczepień ochronnych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sposoby nabierania odporności swoistej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polegają odpowiedź immunologiczna pierwotna i odpowiedź immunologiczna wtórna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rolę poszczególnych elementów układu odpornościowego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mechanizm infekcji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działanie barier obronnych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odporność nabytą z odpornością wrodzoną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mechanizm działania odporności wrodzonej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odporność nieswoistą z odpornością swoistą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na czym polegają humoralna </w:t>
              <w:br/>
              <w:t xml:space="preserve">i komórkowa odpowiedź immunologiczna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rodzaje odporności swoistej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klasyfikuje poszczególne elementy układu odpornościowego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swoistość przeciwciał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odporność komórkową z odpornością humoralną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mechanizm działania odporności nabytej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znaczenie pamięci immunologicznej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pierwotną odpowiedź immunologiczną z wtórną odpowiedzią immunologiczną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na czym polega rola poszczególnych tkanek, narządów, komórek </w:t>
              <w:br/>
              <w:t>i cząsteczek w reakcji odpornościowej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określa rolę fagocytozy </w:t>
              <w:br/>
              <w:t>w reakcjach odpornościowych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różnice dotyczące czasu uruchamiania się mechanizmów odporności humoralnej </w:t>
              <w:br/>
              <w:t>i odporności komórkowej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celowość stosowania szczepionek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porównuje limfocyty biorące udział </w:t>
              <w:br/>
              <w:t>w reakcji odpornościowej pod względem pełnionych przez nie funkcji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argumenty potwierdzające tezę, że apoptoza ma duże znaczenie dla zachowania homeostazy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w jaki sposób oraz </w:t>
              <w:br/>
              <w:t xml:space="preserve">w jakich sytuacjach </w:t>
              <w:br/>
              <w:t>w organizmie tworzy się pamięć immunologiczna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 Zaburzenia funkcjonowania układu odpornościowego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czynniki osłabiające układ odpornościowy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chorób autoimmunologicznych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reakcje alergiczne jako nadmierną reakcję układu odpornościowego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główny układ zgodności tkankowej (MHC)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cel stosowania przeszczepów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immunosupresja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mechanizm reakcji alergicznej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wykazuje, że alergia jest stanem nadwrażliwości organizmu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przyczyny konfliktu serologicznego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analizuje na schemacie mechanizm stosowania immunosupresji </w:t>
              <w:br/>
              <w:t xml:space="preserve">w 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</w:rPr>
              <w:t>transplantacji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szpiku kostnego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choroby autoimmunologiczne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przebieg zakażenia wirusem HIV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profilaktykę AIDS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przyczyny alergii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podstawowe zasady, których należy przestrzegać przy przeszczepach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przyczyny nieprawidłowych reakcji odpornościowych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znaczenie antygenów zgodności tkankowej </w:t>
              <w:br/>
              <w:t>w transplantacjach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zasady przeszczepiania tkanek </w:t>
              <w:br/>
              <w:t>i narządów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dowodzi, że AIDS jest chorobą układu odpornościowego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znaczenie antygenów zgodności tkankowej </w:t>
              <w:br/>
              <w:t>w prawidłowym funkcjonowaniu układu odpornościowego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wykazuje związek zgodności tkankowej </w:t>
              <w:br/>
              <w:t>z immunosupresją oraz wykazuje ich znaczenie dla transplantologii</w:t>
            </w:r>
          </w:p>
        </w:tc>
      </w:tr>
      <w:tr>
        <w:trPr>
          <w:trHeight w:val="320" w:hRule="atLeast"/>
          <w:cantSplit w:val="true"/>
        </w:trPr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 Układ moczowy</w:t>
            </w:r>
            <w:bookmarkStart w:id="0" w:name="_GoBack"/>
            <w:bookmarkEnd w:id="0"/>
          </w:p>
        </w:tc>
      </w:tr>
      <w:tr>
        <w:trPr>
          <w:trHeight w:val="1134" w:hRule="atLeast"/>
          <w:cantSplit w:val="true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 Budowa i funkcjonowanie układu moczowego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układu moczowego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zbędnych produktów przemiany materii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na schematach elementy układu moczowego i podaje ich nazwy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nazwy procesów zachodzących w nerkach podczas powstawania moczu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lokalizację ośrodka wydalania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nazwę i miejsce powstawania i wydzielania hormonu regulującego produkcję moczu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nazwę hormonu produkowanego przez nerki i podaje jego rolę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składników moczu pierwotnego i moczu ostatecznego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narządy układu moczowego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anatomiczną nerki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na podstawie schematu cykl mocznikowy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procesy zachodzące w nefronie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drogi wydalania zbędnych produktów przemiany materii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proces powstawania moczu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dlaczego cykl mocznikowy jest procesem anabolicznym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porównuje sposoby wydalania trzech głównych produktów metabolizmu: amoniaku, dwutlenku węgla </w:t>
              <w:br/>
              <w:t>i nadmiaru wody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i funkcje nefronu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procesy zachodzące w nefronie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skład i ilość moczu pierwotnego ze składem i ilością moczu ostatecznego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jaką rolę odgrywają nerki </w:t>
              <w:br/>
              <w:t>w osmoregulacji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mechanizm wydalania moczu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regulację objętości wydalanego moczu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wpływ hormonów na funkcjonowanie nerek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wewnątrzwydzielniczą funkcję nerek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rolę ADH w utrzymaniu równowagi wodnej organizmu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jaką rolę odgrywa układ wydalniczy </w:t>
              <w:br/>
              <w:t>w utrzymywaniu homeostazy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mechanizm regulacji poziomu wody we krwi </w:t>
              <w:br/>
              <w:t xml:space="preserve">i w wydalanym moczu oraz wskazuje na rolę układu hormonalnego </w:t>
              <w:br/>
              <w:t xml:space="preserve">w tym mechanizmie 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 Choroby układu moczowego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metody diagnozowania chorób układu moczowego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substancji znajdujących się w moczu zdrowego człowieka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najczęstsze choroby układu moczowego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przyczyny chorób układu moczowego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cel stosowania dializy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metody diagnozowania chorób układu moczowego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wyniki badania składu moczu zdrowego człowieka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cechy moczu zdrowego człowieka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zasady higieny układu moczowego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najczęstsze choroby układu moczowego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ocenia znaczenie dializy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składniki moczu, które mogą wskazywać na chorobę lub uszkodzenie nerek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objawy chorób układu moczowego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polegają hemodializa i dializa otrzewnowa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dowodzi dużego znaczenia badań moczu w diagnostyce chorób nerek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uzasadnia na podstawie różnych źródeł, że mocz może być wykorzystywany do stawiania szybkich diagnoz, np. potwierdzania ciąży</w:t>
            </w:r>
          </w:p>
        </w:tc>
      </w:tr>
      <w:tr>
        <w:trPr>
          <w:trHeight w:val="214" w:hRule="atLeast"/>
          <w:cantSplit w:val="true"/>
        </w:trPr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7-8. Powtórzenie i sprawdzenie stopnia opanowania wiadomości i umiejętności z rozdziałów „Odporność organizmu” i „Układ moczowy”</w:t>
            </w:r>
          </w:p>
        </w:tc>
      </w:tr>
      <w:tr>
        <w:trPr>
          <w:trHeight w:val="214" w:hRule="atLeast"/>
          <w:cantSplit w:val="true"/>
        </w:trPr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 Układ nerwowy</w:t>
            </w:r>
          </w:p>
        </w:tc>
      </w:tr>
      <w:tr>
        <w:trPr>
          <w:trHeight w:val="1134" w:hRule="atLeast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 Budowa i działanie układu nerwowego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podstawowych elementów układu nerwowego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układu nerwowego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nazwy i funkcje części neuronu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funkcję osłonki mielinowej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mechanizm przewodzenia impulsu nerwowego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pojęcia: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impuls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nerwowy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polaryzacja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depolaryzacja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repolaryzacja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opisuje na podstawie schematu budowę </w:t>
              <w:br/>
              <w:t>i działanie synapsy chemicznej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przykłady neuroprzekaźników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ogólną budowę układu nerwowego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porównuje dendryty </w:t>
              <w:br/>
              <w:t>z aksonem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rozróżnia neurony pod względem funkcjonalnym (neurony czuciowe, neurony ruchowe, </w:t>
              <w:br/>
              <w:t>neurony pośredniczące)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charakteryzuje budowę </w:t>
              <w:br/>
              <w:t>synapsy chemicznej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sposób przekazywania impulsu nerwowego przez neurony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definiuje pojęcia: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potencjał spoczynkowy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potencjał czynnościowy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rolę neuroprzekaźników pobudzających </w:t>
              <w:br/>
              <w:t>i neuroprzekaźników hamujących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elementy neuronu i omawia ich funkcje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odróżnia potencjał spoczynkowy od potencjału czynnościowego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na czym polegają: polaryzacja, depolaryzacja </w:t>
              <w:br/>
              <w:t>i repolaryzacja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proces przekazywania impulsów nerwowych między komórkami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funkcjonowanie synapsy chemicznej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klasyfikuje i opisuje neuroprzekaźniki</w:t>
            </w:r>
          </w:p>
          <w:p>
            <w:pPr>
              <w:pStyle w:val="Normal"/>
              <w:ind w:left="1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wykazuje związek budowy neuronu </w:t>
              <w:br/>
              <w:t>z funkcją przewodzenia impulsu nerwowego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 Ośrodkowy układ nerwowy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nazwy elementów ośrodkowego układu nerwowego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mózgowia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płatów mózgowych i wskazuje na schemacie ich położenie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budowę i rolę rdzenia kręgowego na podstawie schematu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ośrodkowego układu nerwowego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rolę poszczególnych części mózgowia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płaty w korze mózgowej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charakteryzuje budowę </w:t>
              <w:br/>
              <w:t>i funkcję rdzenia kręgowego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położenie istoty szarej z położeniem istoty białej w mózgowiu i rdzeniu kręgowym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funkcje móżdżku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wykazuje, że mózg jest częścią mózgowia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poszczególne części mózgowia</w:t>
            </w:r>
          </w:p>
          <w:p>
            <w:pPr>
              <w:pStyle w:val="Normal"/>
              <w:ind w:left="1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porównuje mózg </w:t>
              <w:br/>
              <w:t xml:space="preserve">i rdzeń kręgowy pod względem budowy </w:t>
              <w:br/>
              <w:t>i pełnionych funkcji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na podstawie literatury popularnonaukowej, dlaczego istota szara i istota biała są umiejscowione </w:t>
              <w:br/>
              <w:t xml:space="preserve">w mózgu </w:t>
              <w:br/>
              <w:t xml:space="preserve">i w rdzeniu kręgowym </w:t>
              <w:br/>
              <w:t>w odwrotny sposób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weryfikuje na podstawie danych </w:t>
              <w:br/>
              <w:t>z czasopism popularnonaukowych prawdziwość stwierdzenia, że mózg wykorzystuje tylko 10% swoich możliwości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 Obwodowy układ nerwowy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budowę obwodowego układu nerwowego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funkcje obwodowego układu nerwowego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łuk odruchowy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odruch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rodzaje nerwów wyróżnione ze względu </w:t>
              <w:br/>
              <w:t>na kierunek przewodzenia informacji (nerwy ruchowe, nerwy czuciowe, nerwy mieszane)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elementów łuku odruchowego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odruchy bezwarunkowe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odruchy warunkowe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przykłady odruchów warunkowych </w:t>
              <w:br/>
              <w:t>i odruchów bezwarunkowych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nerwu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rolę nerwów czuciowych, nerwów ruchowych i nerwów mieszanych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nerwy czaszkowe i nerwy rdzeniowe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elementy łuku odruchowego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przebieg reakcji odruchowej na podstawie schematu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analizuje przebieg reakcji odruchowej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odruchy warunkowe z odruchami bezwarunkowymi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dzieli przykładowe odruchy na warunkowe </w:t>
              <w:br/>
              <w:t>i bezwarunkowe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drogę, którą pokonuje impuls w łuku odruchowym w dowolnej sytuacji, np. po ukłuciu palca igłą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w jaki sposób można wyrobić w sobie odruch uczenia się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w jaki sposób powstaje odruch warunkowy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dowodzi znaczenia odruchów warunkowych </w:t>
              <w:br/>
              <w:t>w uczeniu się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planuje przebieg doświadczenia, którego celem będzie nauczenie psa, aby spał na swoim legowisku, </w:t>
              <w:br/>
              <w:t>a nie w łóżku dziecka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odruchów bezwarunkowych oraz wyjaśnia, jakie mają one znaczenie dla funkcjonowania człowieka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wykazuje, że powstanie odruchu warunkowego wymaga skojarzenia bodźca obojętnego </w:t>
              <w:br/>
              <w:t>z bodźcem kluczowym wywołującym odruch bezwarunkowy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 Autonomiczny układ nerwowy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klasyfikuje części układu nerwowego pod względem funkcjonalnym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elementy </w:t>
              <w:br/>
              <w:t xml:space="preserve">i funkcje układu autonomicznego 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przykłady sytuacji, w których działa układ współczulny, oraz przykłady sytuacji, </w:t>
              <w:br/>
              <w:t>w których działa układ przywspółczulny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rozróżnia somatyczny </w:t>
              <w:br/>
              <w:t>i autonomiczny układ nerwowy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funkcje układu autonomicznego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struktury nerwowe autonomicznego układu nerwowego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jakie znaczenie dla prawidłowego funkcjonowania organizmu ma antagonistyczne działanie części współczulnej i części przywspółczulnej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część współczulną autonomicznego układu nerwowego z częścią przywspółczulną tego układu pod względem budowy i funkcji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rolę autonomicznego układu nerwowego </w:t>
              <w:br/>
              <w:t>w utrzymywaniu homeostazy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wykazuje antagonizm czynnościowy części współczulnej i części przywspółczulnej układu autonomicznego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lokalizację ośrodków nerwowych oraz zwojów nerwowych układu współczulnego </w:t>
              <w:br/>
              <w:t>i układu przywspółczulnego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ocenia aktywność części współczulnej </w:t>
              <w:br/>
              <w:t xml:space="preserve">i części przywspółczulnej </w:t>
              <w:br/>
              <w:t>w nietypowych sytuacjach oraz uzasadnia swoją ocenę</w:t>
            </w:r>
          </w:p>
          <w:p>
            <w:pPr>
              <w:pStyle w:val="Normal"/>
              <w:widowControl/>
              <w:numPr>
                <w:ilvl w:val="0"/>
                <w:numId w:val="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dlaczego po stresującym wydarzeniu, </w:t>
              <w:br/>
              <w:t>np. egzaminie, nie ma się ochoty na spożywanie posiłku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 Higiena i choroby układu nerwowego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zasady higieny układu nerwowego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znaczenie snu dla organizmu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uzależnienie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konsekwencje uzależnienia się od substancji psychoaktywnych, w tym dopalaczy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bookmarkStart w:id="1" w:name="_Hlk32462076"/>
            <w:r>
              <w:rPr>
                <w:rFonts w:ascii="Times New Roman" w:hAnsi="Times New Roman"/>
                <w:sz w:val="16"/>
                <w:szCs w:val="16"/>
              </w:rPr>
              <w:t>przedstawia wybrane choroby układu nerwowego (chorobę Alzheimera, chorobę Parkinsona, schizofrenię, depresję)</w:t>
            </w:r>
            <w:bookmarkEnd w:id="1"/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podstawowe metody diagnozowania chorób układu nerwowego (elektroencefalografia, tomografia komputerowa, magnetyczny rezonans jądrowy)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sposoby zmniejszania ryzyka powstawania uzależnień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ocenia znaczenie snu dla prawidłowego funkcjonowania organizmu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znaczenie wczesnej diagnostyki </w:t>
              <w:br/>
              <w:t>w ograniczaniu społecznych skutków chorób układu nerwowego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metody diagnozowania chorób układu nerwowego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mechanizm powstawania uzależnienia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dowodzi, że uzależnienie to choroba układu nerwowego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charakteryzuje przyczyny </w:t>
              <w:br/>
              <w:t>i objawy wybranych chorób układu nerwowego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profilaktykę wybranych chorób układu nerwowego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ocenia na podstawie zdobytych informacji </w:t>
            </w:r>
            <w:bookmarkStart w:id="2" w:name="_Hlk32462426"/>
            <w:r>
              <w:rPr>
                <w:rFonts w:ascii="Times New Roman" w:hAnsi="Times New Roman"/>
                <w:sz w:val="16"/>
                <w:szCs w:val="16"/>
              </w:rPr>
              <w:t xml:space="preserve">słuszność stwierdzenia, że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telefony komórkowe mają negatywny wpływ na funkcjonowanie układu nerwowego</w:t>
            </w:r>
            <w:bookmarkEnd w:id="2"/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wyszukuje </w:t>
              <w:br/>
              <w:t xml:space="preserve">w literaturze informacje na temat czynników ryzyka wystąpienia schizofrenii </w:t>
              <w:br/>
              <w:t xml:space="preserve">i depresji </w:t>
              <w:br/>
              <w:t>u człowieka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że uzależnienie jest chorobą związaną ze zwiększeniem </w:t>
            </w:r>
            <w:r>
              <w:rPr>
                <w:rFonts w:ascii="Times New Roman" w:hAnsi="Times New Roman"/>
                <w:color w:val="1C1C1B"/>
                <w:sz w:val="16"/>
                <w:szCs w:val="16"/>
              </w:rPr>
              <w:t xml:space="preserve">poziomu dopaminy </w:t>
              <w:br/>
              <w:t>w tzw. układzie nagrody, i omawia wpływ uzależnień na organizm</w:t>
            </w:r>
          </w:p>
        </w:tc>
      </w:tr>
      <w:tr>
        <w:trPr/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 Narządy zmysłów</w:t>
            </w:r>
          </w:p>
        </w:tc>
      </w:tr>
      <w:tr>
        <w:trPr>
          <w:trHeight w:val="1134" w:hRule="atLeast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 Budowa i działanie narządu wzroku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rodzaje receptorów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receptor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adaptacja oka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akomodacja oka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elementy oka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elementy gałki ocznej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funkcje poszczególnych elementów narządu wzroku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wad wzroku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przykłady chorób i zaburzeń widzenia (jaskra, zaćma, zwyrodnienie plamki, daltonizm)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podstawowe zasady higieny wzroku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poszczególne receptory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oka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anatomiczną gałki ocznej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drogę, którą pokonuje światło w gałce ocznej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cechy obrazu powstającego </w:t>
              <w:br/>
              <w:t>na siatkówce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akomodacja oka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przyczyny wad wzroku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sposoby korygowania wad wzroku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wskazuje kryterium podziału receptorów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funkcje elementów gałki ocznej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dlaczego człowiek może widzieć przestrzennie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funkcję pręcików z funkcją czopków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wady wzroku i sposoby ich korekcji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uzasadnia, że właściwa dieta, właściwe oświetlenie, unikanie zanieczyszczeń pyłowych oraz inne czynniki mają istotny wpływ dla utrzymywania oczu w dobrej kondycji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uzasadnia znaczenie widzenia dwuocznego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wybrane choroby wzroku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wskazuje i wyjaśnia różnice między akomodacją </w:t>
              <w:br/>
              <w:t>a adaptacją oka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mechanizm powstawania obrazu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wyszukuje </w:t>
              <w:br/>
              <w:t>w dostępnych źródłach informacje dotyczące produktów, które powinny być spożywane przez osoby pracujące przez długi czas przy monitorach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 Ucho – narząd zmysłu słuchu i zmysłu równowagi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elementów ucha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drogę, którą pokonuje dźwięk w uchu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budowę narządu równowagi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określa podstawowe funkcje elementów narządu zmysły słuchu </w:t>
              <w:br/>
              <w:t>i zmysłu równowagi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negatywne skutki oddziaływania hałasu na funkcjonowanie organizmu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elementy ucha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charakteryzuje budowę </w:t>
              <w:br/>
              <w:t>i funkcję narządu równowagi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dowodzi szkodliwości hałasu dla zdrowia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ucho zewnętrzne, ucho środkowe i ucho wewnętrzne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drogę fal dźwiękowych i impulsu nerwowego prowadzącą do powstania wrażeń słuchowych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elementy ucha pod względem budowy i pełnionych funkcji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mechanizm powstawania wrażeń słuchowych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dlaczego człowiek może słyszeć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sposób działania narządu równowagi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zasadę działania narządu równowagi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wykazuje, że receptory słuchu </w:t>
              <w:br/>
              <w:t>i równowagi są mechanoreceptorami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zakres częstotliwości dźwięku, na który reaguje ludzkie ucho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w jaki sposób trąbka słuchowa wyrównuje ciśnienie po obu stronach błony bębenkowej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w jaki sposób działa narząd równowagi, gdy człowiek się pochyla </w:t>
              <w:br/>
              <w:t>i gdy wykonuje ruchy obrotowe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w jaki sposób narząd równowagi reaguje </w:t>
              <w:br/>
              <w:t>w nietypowych sytuacjach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 Narządy smaku oraz węchu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budowę narządu smaku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podstawowe funkcje narządu smaku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pięciu podstawowych smaków odczuwanych przez człowieka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budowę narządu węchu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narządu węchu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biologiczne znaczenie zmysłów smaku i węchu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budowę narządów smaku i węchu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w jaki sposób powstają wrażenia smakowe i zapachowe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narządów smaku i węchu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mechanizm powstawania wrażeń węchowych i smakowych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znaczenie adaptacyjne narządu węchu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wykazuje związek między budową narządów smaku </w:t>
              <w:br/>
              <w:t>i węchu a ich funkcjami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dowodzi, że komórki zmysłowe występujące </w:t>
              <w:br/>
              <w:t xml:space="preserve">w narządach smaku </w:t>
              <w:br/>
              <w:t>i węchu należą do chemoreceptorów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wykazuje znaczenie zmysłów węchu </w:t>
              <w:br/>
              <w:t>i smaku w ochronie organizmu przed zagrożeniami, np. przed zatruciem drogą oddechową lub drogą pokarmową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2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planuje </w:t>
              <w:br/>
              <w:t xml:space="preserve">i przeprowadza obserwację dotyczącą współdziałania narządu smaku </w:t>
              <w:br/>
              <w:t xml:space="preserve">z narządem węchu </w:t>
              <w:br/>
              <w:t>z wykorzystaniem np. musów owocowo-</w:t>
              <w:br/>
              <w:t>-warzywnych oraz formułuje wnioski na podstawie uzyskanych wyników obserwacji</w:t>
            </w:r>
          </w:p>
        </w:tc>
      </w:tr>
      <w:tr>
        <w:trPr>
          <w:trHeight w:val="316" w:hRule="atLeast"/>
          <w:cantSplit w:val="true"/>
        </w:trPr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17-18. Powtórzenie i sprawdzenie stopnia opanowania wiadomości i umiejętności z rozdziału „Układ ruchu”</w:t>
            </w:r>
          </w:p>
        </w:tc>
      </w:tr>
      <w:tr>
        <w:trPr>
          <w:trHeight w:val="316" w:hRule="atLeast"/>
          <w:cantSplit w:val="true"/>
        </w:trPr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 Układ hormonalny</w:t>
            </w:r>
          </w:p>
        </w:tc>
      </w:tr>
      <w:tr>
        <w:trPr>
          <w:trHeight w:val="1134" w:hRule="atLeast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 Budowa i rola układu hormonalnego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budowę układu hormonalnego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położenie gruczołów dokrewnych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hormon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gruczoł dokrewny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gruczoły dokrewne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hormonów wydzielanych przez poszczególne gruczoły dokrewne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wybranych hormonów tkankowych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dzieli hormony na steroidowe </w:t>
              <w:br/>
              <w:t>i niesteroidowe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gruczoły dokrewne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rozróżnia hormony tkankowe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różnicę między działaniem hormonów steroidowych </w:t>
              <w:br/>
              <w:t>a działaniem hormonów niesteroidowych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rolę poszczególnych hormonów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różnicę między budową gruczołu zewnątrzwydzielniczego </w:t>
              <w:br/>
              <w:t>a budową gruczołu wewnątrzwydzielniczego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klasyfikuje hormony </w:t>
              <w:br/>
              <w:t>ze względu na ich działanie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działanie wybranych hormonów tkankowych</w:t>
            </w:r>
          </w:p>
          <w:p>
            <w:pPr>
              <w:pStyle w:val="Normal"/>
              <w:ind w:left="1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przyczyny różnic między działaniem hormonów steroidowych </w:t>
              <w:br/>
              <w:t>a działaniem hormonów niesteroidowych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przyporządkowuje hormony do odpowiednich gruczołów na podstawie przedstawionych funkcji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charakteryzuje rolę różnych hormonów </w:t>
              <w:br/>
              <w:t>w regulacji tempa metabolizmu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dowodzi współdziałania różnych hormonów </w:t>
              <w:br/>
              <w:t>w regulacji tempa metabolizmu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na podstawie literatury, </w:t>
              <w:br/>
              <w:t>w jaki sposób współdziałanie hormonów wpływa na utrzymywanie homeostazy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 Regulacja wydzielania hormonów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pojęcie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ujemne sprzężenie zwrotne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rolę podwzgórza i przysadki mózgowej </w:t>
              <w:br/>
              <w:t>w utrzymywaniu homeostazy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hormonów podwzgórza i podaje ich funkcje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jakie znaczenie dla funkcjonowania organizmu mają hormony tropowe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na podstawie schematu antagonistyczne działanie hormonów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antagonistyczne działanie hormonów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przykłady hormonów działających antagonistycznie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mechanizm ujemnego sprzężenia zwrotnego na przykładzie regulacji pracy tarczycy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działanie hormonów podwzgórza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mechanizm ujemnego sprzężenia zwrotnego na dowolnym przykładzie (tarczycy, kory nadnerczy)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porównuje działanie układu hormonalnego </w:t>
              <w:br/>
              <w:t>z działaniem układu nerwowego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wykazuje, że podwzgórze </w:t>
              <w:br/>
              <w:t xml:space="preserve">i przysadka odgrywają nadrzędną rolę </w:t>
              <w:br/>
              <w:t>w regulacji hormonalnej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dowodzi zasadności kontrolowania poziomu glukozy i wapnia we krwi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porównuje antagonistyczne działanie hormonów na przykładzie insuliny i glukagonu oraz kalcytoniny </w:t>
              <w:br/>
              <w:t>i parathormonu</w:t>
            </w:r>
          </w:p>
          <w:p>
            <w:pPr>
              <w:pStyle w:val="Normal"/>
              <w:widowControl/>
              <w:numPr>
                <w:ilvl w:val="0"/>
                <w:numId w:val="14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dowodzi istnienia związku między układem dokrewnym </w:t>
              <w:br/>
              <w:t xml:space="preserve">a układem nerwowym oraz wyjaśnia rolę tych układów </w:t>
              <w:br/>
              <w:t>w utrzymywaniu homeostazy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 Nadczynność i niedoczynność gruczołów dokrewnych. Stres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nadczynność gruczołu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niedoczynność gruczołu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nazwy chorób wynikających z niedoboru </w:t>
              <w:br/>
              <w:t>i nadmiaru wybranych hormonów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profilaktykę </w:t>
              <w:br/>
              <w:t>i objawy cukrzycy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różne typy stresorów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podaje sposoby radzenia sobie ze stresem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objawy nadczynności </w:t>
              <w:br/>
              <w:t>i niedoczynności wybranych gruczołów wydzielania wewnętrznego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typy cukrzycy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objawy i przebieg choroby Hashimoto</w:t>
            </w:r>
          </w:p>
          <w:p>
            <w:pPr>
              <w:pStyle w:val="Normal"/>
              <w:widowControl/>
              <w:numPr>
                <w:ilvl w:val="0"/>
                <w:numId w:val="19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proponuje inne niż wymienione </w:t>
              <w:br/>
              <w:t>w podręczniku sposoby radzenia sobie ze stresem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ind w:left="17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diagnostykę </w:t>
              <w:br/>
              <w:t>i sposób leczenia cukrzycy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argumenty przemawiające za stosowaniem hormonalnej terapii zastępczej </w:t>
              <w:br/>
              <w:t>i przeciwko tej terapii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stres krótkotrwały ze stresem długotrwałym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przebieg reakcji stresowej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typy cukrzycy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jaką rolę odgrywa podwzgórze w reakcji stresowej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5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 na podstawie różnych źródeł informacji zmiany, które zachodzą </w:t>
              <w:br/>
              <w:t xml:space="preserve">w organizmie podczas krótkotrwałego </w:t>
              <w:br/>
              <w:t>i długotrwałego stresu</w:t>
            </w:r>
          </w:p>
        </w:tc>
      </w:tr>
      <w:tr>
        <w:trPr/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 Rozmnażanie i rozwój człowieka</w:t>
            </w:r>
          </w:p>
        </w:tc>
      </w:tr>
      <w:tr>
        <w:trPr>
          <w:trHeight w:val="1134" w:hRule="atLeast"/>
          <w:cantSplit w:val="true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 Budowa i funkcje męskich narządów rozrodczych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pierwszo-, drugo- i trzeciorzędowe męskie cechy płciowe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elementów męskiego układu rozrodczego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męskich narządów płciowych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budowę jąder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spermatogeneza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budowę plemnika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charakteryzuje budowę </w:t>
              <w:br/>
              <w:t>i funkcje męskich narządów rozrodczych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na schemacie elementy męskiego układu rozrodczego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fazy spermatogenezy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plemnika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funkcje testosteronu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poszczególnych elementów męskiego układu rozrodczego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przebieg spermatogenezy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funkcje elementów plemnika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znaczenie budowy i funkcji prącia w dostarczaniu plemników do organizmu kobiety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dlaczego jądra są zarówno gonadami, jak i narządami wydzielania wewnętrznego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uzasadnia związek między budową męskich narządów płciowych a ich funkcją</w:t>
            </w:r>
          </w:p>
          <w:p>
            <w:pPr>
              <w:pStyle w:val="Normal"/>
              <w:widowControl/>
              <w:numPr>
                <w:ilvl w:val="0"/>
                <w:numId w:val="16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jakie zmiany w ilości DNA w męskich komórkach płciowych zachodzą podczas spermatogenezy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 Budowa i funkcje żeńskich narządów rozrodczych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pierwszo-, drugo- i trzeciorzędowe żeńskie cechy płciowe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elementów budujących żeński układ rozrodczy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żeńskich narządów płciowych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oogeneza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cykl miesiączkowy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fazy cyklu menstruacyjnego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hormonów regulujących przebieg cyklu menstruacyjnego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charakteryzuje budowę </w:t>
              <w:br/>
              <w:t>i funkcje żeńskich narządów rozrodczych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rozróżnia zewnętrzne </w:t>
              <w:br/>
              <w:t>i wewnętrzne narządy żeńskiego układu rozrodczego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rozpoznaje na schemacie elementy żeńskiego układu rozrodczego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fazy oogenezy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funkcje żeńskich hormonów płciowych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poszczególnych elementów żeńskiego układu rozrodczego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przebieg oogenezy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w jaki sposób żeński układ rozrodczy jest przystosowany do ciąży </w:t>
              <w:br/>
              <w:t>i porodu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zmiany zachodzące w błonie śluzowej macicy w czasie cyklu miesiączkowego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zmiany zachodzące w jajnikach w czasie cyklu miesiączkowego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budowę i funkcje komórki jajowej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wyjaśnia, na czym polega hormonalna regulacja cyklu miesiączkowego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opisuje zmiany, które zachodzą w jajniku </w:t>
              <w:br/>
              <w:t>i w macicy podczas poszczególnych faz cyklu miesiączkowego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wyjaśnia rolę syntetycznych żeńskich hormonów płciowych w regulacji cyklu miesiączkowego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uzasadnia związek między budową </w:t>
              <w:br/>
              <w:t>a funkcjami żeńskich narządów płciowych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porównuje oogenezę ze spermatogenezą</w:t>
            </w:r>
          </w:p>
          <w:p>
            <w:pPr>
              <w:pStyle w:val="Normal"/>
              <w:widowControl/>
              <w:numPr>
                <w:ilvl w:val="0"/>
                <w:numId w:val="17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wyjaśnia, dlaczego podczas oogenezy w żeńskich komórkach płciowych zmienia się ilość DNA 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 Rozwój człowieka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definiuje pojęcia: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zapłodnienie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implantacja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etapów rozwoju zarodkowego i rozwoju płodowego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nazwy błon płodowych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funkcje łożyska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zmiany zachodzące w organizmie kobiety w okresie ciąży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czynniki wpływające na przebieg ciąży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nazwy badań prenatalnych 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etapy rozwoju postnatalnego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opisuje przebieg okresu zarodkowego i okresu płodowego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określa funkcje błon płodowych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znaczenie łożyska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ocenia znaczenie diagnostyki prenatalnej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etapy rozwoju postnatalnego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skutki wydłużania się okresu starości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substancje, które są transportowane przez łożysko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przebieg zapłodnienia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etapy rozwoju zarodkowego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rozwój płodowy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przebieg implantacji zarodka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budowę łożyska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ocenia znaczenie bariery, którą tworzy łożysko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działania, dzięki którym można ograniczyć negatywne skutki wydłużania się okresu starości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omawia wędrówkę plemników </w:t>
              <w:br/>
              <w:t>w poszczególnych częściach żeńskiego układu rozrodczego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metody badań prenatalnych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porządkuje informacje </w:t>
              <w:br/>
              <w:t xml:space="preserve">z różnych źródeł dotyczące stosowania właściwej diety i prowadzenia właściwego stylu życia przez kobietę </w:t>
              <w:br/>
              <w:t xml:space="preserve">w czasie ciąży </w:t>
              <w:br/>
              <w:t xml:space="preserve">oraz przedstawia </w:t>
              <w:br/>
              <w:t>je na forum klasy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propozycje obniżenia kosztów społecznych związanych </w:t>
              <w:br/>
              <w:t>z wydłużaniem się okresu starości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argumenty przemawiające </w:t>
              <w:br/>
              <w:t>za wykonywaniem badań prenatalnych</w:t>
            </w:r>
          </w:p>
        </w:tc>
      </w:tr>
      <w:tr>
        <w:trPr/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 Higiena i choroby układu rozrodczego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zasady higieny układu rozrodczego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metody diagnozowania chorób układu rozrodczego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nazwy chorób układu rozrodczego </w:t>
              <w:br/>
              <w:t xml:space="preserve">i chorób przenoszonych drogą płciową (kiła, rzeżączka, </w:t>
            </w:r>
            <w:r>
              <w:rPr>
                <w:rFonts w:ascii="Times New Roman" w:hAnsi="Times New Roman"/>
                <w:color w:val="1C1C1B"/>
                <w:sz w:val="16"/>
                <w:szCs w:val="16"/>
              </w:rPr>
              <w:t>chlamydioza</w:t>
            </w:r>
            <w:r>
              <w:rPr>
                <w:rFonts w:ascii="Times New Roman" w:hAnsi="Times New Roman"/>
                <w:sz w:val="16"/>
                <w:szCs w:val="16"/>
              </w:rPr>
              <w:t>, rzęsistkowica, zakażenie wirusem brodawczaka ludzkiego, grzybice narządów płciowych)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wymienia zasady zapobiegania rozprzestrzenianiu się chorób przenoszonych drogą płciową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wymienia zasady profilaktyki raka piersi </w:t>
              <w:br/>
              <w:t xml:space="preserve">u kobiet i raka jąder </w:t>
              <w:br/>
              <w:t>u mężczyzn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ocenia zagrożenia wynikające z zakażenia chorobami przenoszonymi drogą płciową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metody diagnozowania chorób układu rozrodczego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przyporządkowuje chorobom układu rozrodczego źródła zakażenia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przedstawia profilaktykę raka jąder i przerostu gruczołu krokowego </w:t>
              <w:br/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charakteryzuje wybrane choroby układu rozrodczego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przedstawia działania, które pozwalają ustrzec się przed chorobami przenoszonymi drogą płciową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omawia metody diagnozowania, leczenia i profilaktyki raka szyjki macicy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konstruuje zalecenia dotyczące przestrzegania zasad higieny okolic intymnych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Uczeń: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wykazuje znaczenie, jakie</w:t>
              <w:br/>
              <w:t xml:space="preserve">dla zachowania zdrowia mają regularne wizyty kobiet </w:t>
              <w:br/>
              <w:t xml:space="preserve">u ginekologa, </w:t>
              <w:br/>
              <w:t xml:space="preserve">a mężczyzn – </w:t>
              <w:br/>
              <w:t>u urologa</w:t>
            </w:r>
          </w:p>
          <w:p>
            <w:pPr>
              <w:pStyle w:val="Normal"/>
              <w:widowControl/>
              <w:numPr>
                <w:ilvl w:val="0"/>
                <w:numId w:val="18"/>
              </w:numPr>
              <w:suppressAutoHyphens w:val="false"/>
              <w:ind w:hanging="170" w:left="170"/>
              <w:textAlignment w:val="auto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podaje argumenty przemawiające za przeprowadzaniem częstych badań kontrolnych, dzięki którym można wykryć chorobę nowotworową </w:t>
              <w:br/>
              <w:t xml:space="preserve">w stadium, </w:t>
              <w:br/>
              <w:t>w którym prawdopodobieństwo jej wyleczenia jest bardzo wysokie</w:t>
            </w:r>
          </w:p>
        </w:tc>
      </w:tr>
      <w:tr>
        <w:trPr/>
        <w:tc>
          <w:tcPr>
            <w:tcW w:w="1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26-27. Powtórzenie i sprawdzenie stopnia opanowania wiadomości i umiejętności z rozdziałów „Układ hormonalny” i „Rozmnażanie i rozwój człowieka”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28-30 .Powtórzenie- anatomia i fizjologia człowieka</w:t>
            </w:r>
          </w:p>
        </w:tc>
      </w:tr>
    </w:tbl>
    <w:p>
      <w:pPr>
        <w:pStyle w:val="Normal"/>
        <w:ind w:firstLine="708" w:left="8496"/>
        <w:rPr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Wymagania edukacyjne z biologii są zgodne ze statutem szkoły</w:t>
      </w:r>
    </w:p>
    <w:p>
      <w:pPr>
        <w:pStyle w:val="Normal"/>
        <w:jc w:val="right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>
      <w:pPr>
        <w:pStyle w:val="Normal"/>
        <w:rPr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Nauczyciel biologii:     </w:t>
      </w:r>
    </w:p>
    <w:p>
      <w:pPr>
        <w:pStyle w:val="Normal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Potwierdzam zapoznanie klasy z wymaganiami edukacyjnymi: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665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96005"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Annotationreference">
    <w:name w:val="annotation reference"/>
    <w:uiPriority w:val="99"/>
    <w:semiHidden/>
    <w:unhideWhenUsed/>
    <w:qFormat/>
    <w:rsid w:val="00b96005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b96005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b96005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b96005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Znakiprzypiswkocowych">
    <w:name w:val="Znaki przypisów końcowych"/>
    <w:uiPriority w:val="99"/>
    <w:semiHidden/>
    <w:unhideWhenUsed/>
    <w:qFormat/>
    <w:rsid w:val="00b9600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5665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96005"/>
    <w:pPr>
      <w:widowControl/>
      <w:suppressAutoHyphens w:val="false"/>
      <w:textAlignment w:val="auto"/>
    </w:pPr>
    <w:rPr>
      <w:rFonts w:ascii="Tahoma" w:hAnsi="Tahoma" w:eastAsia="Times New Roman"/>
      <w:kern w:val="0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b96005"/>
    <w:pPr>
      <w:widowControl/>
      <w:suppressAutoHyphens w:val="false"/>
      <w:textAlignment w:val="auto"/>
    </w:pPr>
    <w:rPr>
      <w:rFonts w:ascii="Times New Roman" w:hAnsi="Times New Roman" w:eastAsia="Times New Roman"/>
      <w:kern w:val="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b96005"/>
    <w:pPr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6005"/>
    <w:pPr>
      <w:widowControl/>
      <w:suppressAutoHyphens w:val="false"/>
      <w:textAlignment w:val="auto"/>
    </w:pPr>
    <w:rPr>
      <w:rFonts w:ascii="Times New Roman" w:hAnsi="Times New Roman" w:eastAsia="Times New Roman"/>
      <w:kern w:val="0"/>
      <w:lang w:val="x-none" w:eastAsia="x-none"/>
    </w:rPr>
  </w:style>
  <w:style w:type="paragraph" w:styleId="Revision">
    <w:name w:val="Revision"/>
    <w:uiPriority w:val="99"/>
    <w:semiHidden/>
    <w:qFormat/>
    <w:rsid w:val="00b960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b96005"/>
    <w:pPr>
      <w:widowControl/>
      <w:suppressAutoHyphens w:val="false"/>
      <w:ind w:left="708"/>
      <w:textAlignment w:val="auto"/>
    </w:pPr>
    <w:rPr>
      <w:rFonts w:ascii="Times New Roman" w:hAnsi="Times New Roman" w:eastAsia="Times New Roman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LibreOffice/7.6.4.1$Windows_X86_64 LibreOffice_project/e19e193f88cd6c0525a17fb7a176ed8e6a3e2aa1</Application>
  <AppVersion>15.0000</AppVersion>
  <Pages>7</Pages>
  <Words>3844</Words>
  <Characters>25400</Characters>
  <CharactersWithSpaces>28468</CharactersWithSpaces>
  <Paragraphs>552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2023-09-23T10:17:00Z</dcterms:created>
  <dc:creator>Microsoft account</dc:creator>
  <dc:description/>
  <dc:language>pl-PL</dc:language>
  <cp:lastModifiedBy/>
  <cp:lastPrinted>2023-09-23T18:04:00Z</cp:lastPrinted>
  <dcterms:modified xsi:type="dcterms:W3CDTF">2024-09-17T18:45:01Z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